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009BC" w14:textId="3CDC7A92" w:rsidR="00064F7F" w:rsidRDefault="00D60EB5">
      <w:pPr>
        <w:rPr>
          <w:noProof/>
        </w:rPr>
      </w:pPr>
      <w:r>
        <w:rPr>
          <w:b/>
          <w:noProof/>
          <w:sz w:val="28"/>
          <w:szCs w:val="28"/>
        </w:rPr>
        <w:drawing>
          <wp:anchor distT="0" distB="0" distL="114300" distR="114300" simplePos="0" relativeHeight="251666432" behindDoc="0" locked="0" layoutInCell="1" allowOverlap="1" wp14:anchorId="39BE453D" wp14:editId="57D4193A">
            <wp:simplePos x="0" y="0"/>
            <wp:positionH relativeFrom="column">
              <wp:posOffset>1971675</wp:posOffset>
            </wp:positionH>
            <wp:positionV relativeFrom="paragraph">
              <wp:posOffset>-88900</wp:posOffset>
            </wp:positionV>
            <wp:extent cx="1427480" cy="1233170"/>
            <wp:effectExtent l="0" t="0" r="1270" b="5080"/>
            <wp:wrapTight wrapText="bothSides">
              <wp:wrapPolygon edited="0">
                <wp:start x="9512" y="0"/>
                <wp:lineTo x="6918" y="5339"/>
                <wp:lineTo x="577" y="14682"/>
                <wp:lineTo x="0" y="15683"/>
                <wp:lineTo x="0" y="19687"/>
                <wp:lineTo x="3747" y="21355"/>
                <wp:lineTo x="17872" y="21355"/>
                <wp:lineTo x="21331" y="19687"/>
                <wp:lineTo x="21331" y="15349"/>
                <wp:lineTo x="14125" y="5339"/>
                <wp:lineTo x="11530" y="0"/>
                <wp:lineTo x="9512"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lpuchalski:Desktop:All:Logos:Your Logo Here:logo-01.ep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27480" cy="12331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68238A1" w14:textId="77777777" w:rsidR="00C9366D" w:rsidRDefault="00C9366D">
      <w:pPr>
        <w:rPr>
          <w:noProof/>
        </w:rPr>
      </w:pPr>
    </w:p>
    <w:p w14:paraId="0CC34F55" w14:textId="77777777" w:rsidR="00C9366D" w:rsidRDefault="00C9366D">
      <w:pPr>
        <w:rPr>
          <w:noProof/>
        </w:rPr>
      </w:pPr>
    </w:p>
    <w:p w14:paraId="3BC7375C" w14:textId="77777777" w:rsidR="00C9366D" w:rsidRDefault="00C9366D">
      <w:pPr>
        <w:rPr>
          <w:noProof/>
        </w:rPr>
      </w:pPr>
    </w:p>
    <w:p w14:paraId="64A3A933" w14:textId="77777777" w:rsidR="00C9366D" w:rsidRDefault="00C9366D">
      <w:pPr>
        <w:rPr>
          <w:noProof/>
        </w:rPr>
      </w:pPr>
    </w:p>
    <w:p w14:paraId="5218D18F" w14:textId="762D95F6" w:rsidR="0089474F" w:rsidRDefault="0089474F">
      <w:pPr>
        <w:rPr>
          <w:noProof/>
        </w:rPr>
      </w:pPr>
    </w:p>
    <w:p w14:paraId="46476D40" w14:textId="66700702" w:rsidR="0089474F" w:rsidRDefault="0089474F">
      <w:pPr>
        <w:rPr>
          <w:noProof/>
        </w:rPr>
      </w:pPr>
    </w:p>
    <w:p w14:paraId="4E909C52" w14:textId="11D39B91" w:rsidR="00C9366D" w:rsidRDefault="00D60EB5">
      <w:pPr>
        <w:rPr>
          <w:noProof/>
        </w:rPr>
      </w:pPr>
      <w:r>
        <w:rPr>
          <w:noProof/>
        </w:rPr>
        <mc:AlternateContent>
          <mc:Choice Requires="wps">
            <w:drawing>
              <wp:anchor distT="0" distB="0" distL="114300" distR="114300" simplePos="0" relativeHeight="251661312" behindDoc="0" locked="0" layoutInCell="1" allowOverlap="1" wp14:anchorId="46C7A6E2" wp14:editId="7E03D4C0">
                <wp:simplePos x="0" y="0"/>
                <wp:positionH relativeFrom="column">
                  <wp:posOffset>0</wp:posOffset>
                </wp:positionH>
                <wp:positionV relativeFrom="paragraph">
                  <wp:posOffset>321945</wp:posOffset>
                </wp:positionV>
                <wp:extent cx="5486400" cy="914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441104" w14:textId="1D272722" w:rsidR="00BC6C27" w:rsidRDefault="005541A7" w:rsidP="0089474F">
                            <w:pPr>
                              <w:jc w:val="center"/>
                              <w:rPr>
                                <w:rFonts w:asciiTheme="majorHAnsi" w:hAnsiTheme="majorHAnsi"/>
                                <w:b/>
                                <w:color w:val="365F91" w:themeColor="accent1" w:themeShade="BF"/>
                                <w:sz w:val="56"/>
                                <w:szCs w:val="56"/>
                              </w:rPr>
                            </w:pPr>
                            <w:r>
                              <w:rPr>
                                <w:rFonts w:asciiTheme="majorHAnsi" w:hAnsiTheme="majorHAnsi"/>
                                <w:b/>
                                <w:color w:val="365F91" w:themeColor="accent1" w:themeShade="BF"/>
                                <w:sz w:val="56"/>
                                <w:szCs w:val="56"/>
                              </w:rPr>
                              <w:t>Customer Vault Guide</w:t>
                            </w:r>
                          </w:p>
                          <w:p w14:paraId="0214F52F" w14:textId="790EB788" w:rsidR="005541A7" w:rsidRPr="005541A7" w:rsidRDefault="005541A7" w:rsidP="0089474F">
                            <w:pPr>
                              <w:jc w:val="center"/>
                              <w:rPr>
                                <w:rFonts w:asciiTheme="majorHAnsi" w:hAnsiTheme="majorHAnsi"/>
                                <w:color w:val="262626" w:themeColor="text1" w:themeTint="D9"/>
                                <w:sz w:val="28"/>
                                <w:szCs w:val="40"/>
                              </w:rPr>
                            </w:pPr>
                            <w:r w:rsidRPr="005541A7">
                              <w:rPr>
                                <w:rFonts w:asciiTheme="majorHAnsi" w:hAnsiTheme="majorHAnsi"/>
                                <w:color w:val="262626" w:themeColor="text1" w:themeTint="D9"/>
                                <w:sz w:val="28"/>
                                <w:szCs w:val="40"/>
                              </w:rPr>
                              <w:t>PCI Certified Storage of Customer Payment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0;margin-top:25.35pt;width:6in;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LdIMkCAAAOBgAADgAAAGRycy9lMm9Eb2MueG1srFTLbtswELwX6D8QvDuSDDkPIXKgOHBRIEiD&#10;JkXONEXZQiWSJWlbbtF/75CSHSftoSl6oVa7w+Xu7OPyqmsbshHG1krmNDmJKRGSq7KWy5x+eZyP&#10;zimxjsmSNUqKnO6EpVfT9+8utzoTY7VSTSkMgRNps63O6co5nUWR5SvRMnuitJAwVsq0zOHXLKPS&#10;sC28t000juPTaKtMqY3iwlpob3ojnQb/VSW4+1RVVjjS5BSxuXCacC78GU0vWbY0TK9qPoTB/iGK&#10;ltUSjx5c3TDHyNrUv7lqa26UVZU74aqNVFXVXIQckE0Sv8rmYcW0CLmAHKsPNNn/55bfbe4NqUvU&#10;jhLJWpToUXSOXKuOJJ6drbYZQA8aMNdB7ZGD3kLpk+4q0/ov0iGwg+fdgVvvjEM5Sc9P0xgmDttF&#10;knoZbqLn29pY90Golnghpwa1C5Syza11PXQP8Y9JNa+bBnqWNfKFAj57jQgN0N9mGSKB6JE+plCc&#10;H7PJ2bg4m1yMTotJMkqT+HxUFPF4dDMv4iJO57OL9PonomhZkmZbtIlGk3mCQMS8YcuhJN78dzVp&#10;GX/RwUkShd7p84PjQMk+1Miz37McJLdrRJ/wZ1GhaoFsrwjzImaNIRuGTmecC+lCnQIZQHtUBcLe&#10;cnHAB8oClW+53JO/f1lJd7jc1lKZUNpXYZdf9yFXPR5kHOXtRdctOnDlxYUqd2hKo/qhtprPa3TO&#10;LbPunhlMMZoNm8l9wlE1aptTNUiUrJT5/ie9x6OQsFLiy51T+23NjKCk+SgxdqFxsUbCT4rmwRvm&#10;2LI4tsh1O1MoB0YL0QXR412zFyuj2icssMK/ChOTHG/n1O3Fmet3FRYgF0URQFgcmrlb+aC5d+2r&#10;4+fisXtiRg/D49BBd2q/P1j2aoZ6rL8pVbF2qqrDgD2zOhCPpRP6cViQfqsd/wfU8xqf/gIAAP//&#10;AwBQSwMEFAAGAAgAAAAhANyDrLDbAAAABwEAAA8AAABkcnMvZG93bnJldi54bWxMj81OwzAQhO9I&#10;vIO1SNyoDUr/QpwKgbiCKFCpt228TSLidRS7TXh7lhMcZ2c0822xmXynzjTENrCF25kBRVwF13Jt&#10;4eP9+WYFKiZkh11gsvBNETbl5UWBuQsjv9F5m2olJRxztNCk1Odax6ohj3EWemLxjmHwmEQOtXYD&#10;jlLuO31nzEJ7bFkWGuzpsaHqa3vyFj5fjvtdZl7rJz/vxzAZzX6trb2+mh7uQSWa0l8YfvEFHUph&#10;OoQTu6g6C/JIsjA3S1DirhaZHA4SW2dL0GWh//OXPwAAAP//AwBQSwECLQAUAAYACAAAACEA5JnD&#10;wPsAAADhAQAAEwAAAAAAAAAAAAAAAAAAAAAAW0NvbnRlbnRfVHlwZXNdLnhtbFBLAQItABQABgAI&#10;AAAAIQAjsmrh1wAAAJQBAAALAAAAAAAAAAAAAAAAACwBAABfcmVscy8ucmVsc1BLAQItABQABgAI&#10;AAAAIQBW4t0gyQIAAA4GAAAOAAAAAAAAAAAAAAAAACwCAABkcnMvZTJvRG9jLnhtbFBLAQItABQA&#10;BgAIAAAAIQDcg6yw2wAAAAcBAAAPAAAAAAAAAAAAAAAAACEFAABkcnMvZG93bnJldi54bWxQSwUG&#10;AAAAAAQABADzAAAAKQYAAAAA&#10;" filled="f" stroked="f">
                <v:textbox>
                  <w:txbxContent>
                    <w:p w14:paraId="2C441104" w14:textId="1D272722" w:rsidR="00BC6C27" w:rsidRDefault="005541A7" w:rsidP="0089474F">
                      <w:pPr>
                        <w:jc w:val="center"/>
                        <w:rPr>
                          <w:rFonts w:asciiTheme="majorHAnsi" w:hAnsiTheme="majorHAnsi"/>
                          <w:b/>
                          <w:color w:val="365F91" w:themeColor="accent1" w:themeShade="BF"/>
                          <w:sz w:val="56"/>
                          <w:szCs w:val="56"/>
                        </w:rPr>
                      </w:pPr>
                      <w:r>
                        <w:rPr>
                          <w:rFonts w:asciiTheme="majorHAnsi" w:hAnsiTheme="majorHAnsi"/>
                          <w:b/>
                          <w:color w:val="365F91" w:themeColor="accent1" w:themeShade="BF"/>
                          <w:sz w:val="56"/>
                          <w:szCs w:val="56"/>
                        </w:rPr>
                        <w:t>Customer Vault Guide</w:t>
                      </w:r>
                    </w:p>
                    <w:p w14:paraId="0214F52F" w14:textId="790EB788" w:rsidR="005541A7" w:rsidRPr="005541A7" w:rsidRDefault="005541A7" w:rsidP="0089474F">
                      <w:pPr>
                        <w:jc w:val="center"/>
                        <w:rPr>
                          <w:rFonts w:asciiTheme="majorHAnsi" w:hAnsiTheme="majorHAnsi"/>
                          <w:color w:val="262626" w:themeColor="text1" w:themeTint="D9"/>
                          <w:sz w:val="28"/>
                          <w:szCs w:val="40"/>
                        </w:rPr>
                      </w:pPr>
                      <w:r w:rsidRPr="005541A7">
                        <w:rPr>
                          <w:rFonts w:asciiTheme="majorHAnsi" w:hAnsiTheme="majorHAnsi"/>
                          <w:color w:val="262626" w:themeColor="text1" w:themeTint="D9"/>
                          <w:sz w:val="28"/>
                          <w:szCs w:val="40"/>
                        </w:rPr>
                        <w:t>PCI Certified Storage of Customer Payment information</w:t>
                      </w:r>
                    </w:p>
                  </w:txbxContent>
                </v:textbox>
                <w10:wrap type="square"/>
              </v:shape>
            </w:pict>
          </mc:Fallback>
        </mc:AlternateContent>
      </w:r>
    </w:p>
    <w:p w14:paraId="433A0355" w14:textId="77777777" w:rsidR="0089474F" w:rsidRDefault="0089474F">
      <w:pPr>
        <w:rPr>
          <w:noProof/>
        </w:rPr>
      </w:pPr>
    </w:p>
    <w:p w14:paraId="01591CD9" w14:textId="77777777" w:rsidR="00153EF0" w:rsidRPr="00153EF0" w:rsidRDefault="0089474F">
      <w:pPr>
        <w:pStyle w:val="TOC1"/>
        <w:tabs>
          <w:tab w:val="right" w:leader="dot" w:pos="8630"/>
        </w:tabs>
        <w:rPr>
          <w:rFonts w:asciiTheme="minorHAnsi" w:hAnsiTheme="minorHAnsi"/>
          <w:b w:val="0"/>
          <w:noProof/>
          <w:color w:val="262626" w:themeColor="text1" w:themeTint="D9"/>
          <w:lang w:eastAsia="ja-JP"/>
        </w:rPr>
      </w:pPr>
      <w:r w:rsidRPr="00153EF0">
        <w:rPr>
          <w:b w:val="0"/>
          <w:noProof/>
          <w:color w:val="262626" w:themeColor="text1" w:themeTint="D9"/>
        </w:rPr>
        <w:fldChar w:fldCharType="begin"/>
      </w:r>
      <w:r w:rsidRPr="00153EF0">
        <w:rPr>
          <w:b w:val="0"/>
          <w:noProof/>
          <w:color w:val="262626" w:themeColor="text1" w:themeTint="D9"/>
        </w:rPr>
        <w:instrText xml:space="preserve"> TOC \o "1-3" </w:instrText>
      </w:r>
      <w:r w:rsidRPr="00153EF0">
        <w:rPr>
          <w:b w:val="0"/>
          <w:noProof/>
          <w:color w:val="262626" w:themeColor="text1" w:themeTint="D9"/>
        </w:rPr>
        <w:fldChar w:fldCharType="separate"/>
      </w:r>
      <w:r w:rsidR="00153EF0" w:rsidRPr="00153EF0">
        <w:rPr>
          <w:b w:val="0"/>
          <w:noProof/>
          <w:color w:val="262626" w:themeColor="text1" w:themeTint="D9"/>
        </w:rPr>
        <w:t>Customer Vault Overview</w:t>
      </w:r>
      <w:r w:rsidR="00153EF0" w:rsidRPr="00153EF0">
        <w:rPr>
          <w:b w:val="0"/>
          <w:noProof/>
          <w:color w:val="262626" w:themeColor="text1" w:themeTint="D9"/>
        </w:rPr>
        <w:tab/>
      </w:r>
      <w:r w:rsidR="00153EF0" w:rsidRPr="00153EF0">
        <w:rPr>
          <w:b w:val="0"/>
          <w:noProof/>
          <w:color w:val="262626" w:themeColor="text1" w:themeTint="D9"/>
        </w:rPr>
        <w:fldChar w:fldCharType="begin"/>
      </w:r>
      <w:r w:rsidR="00153EF0" w:rsidRPr="00153EF0">
        <w:rPr>
          <w:b w:val="0"/>
          <w:noProof/>
          <w:color w:val="262626" w:themeColor="text1" w:themeTint="D9"/>
        </w:rPr>
        <w:instrText xml:space="preserve"> PAGEREF _Toc327104277 \h </w:instrText>
      </w:r>
      <w:r w:rsidR="00153EF0" w:rsidRPr="00153EF0">
        <w:rPr>
          <w:b w:val="0"/>
          <w:noProof/>
          <w:color w:val="262626" w:themeColor="text1" w:themeTint="D9"/>
        </w:rPr>
      </w:r>
      <w:r w:rsidR="00153EF0" w:rsidRPr="00153EF0">
        <w:rPr>
          <w:b w:val="0"/>
          <w:noProof/>
          <w:color w:val="262626" w:themeColor="text1" w:themeTint="D9"/>
        </w:rPr>
        <w:fldChar w:fldCharType="separate"/>
      </w:r>
      <w:r w:rsidR="00153EF0" w:rsidRPr="00153EF0">
        <w:rPr>
          <w:b w:val="0"/>
          <w:noProof/>
          <w:color w:val="262626" w:themeColor="text1" w:themeTint="D9"/>
        </w:rPr>
        <w:t>2</w:t>
      </w:r>
      <w:r w:rsidR="00153EF0" w:rsidRPr="00153EF0">
        <w:rPr>
          <w:b w:val="0"/>
          <w:noProof/>
          <w:color w:val="262626" w:themeColor="text1" w:themeTint="D9"/>
        </w:rPr>
        <w:fldChar w:fldCharType="end"/>
      </w:r>
    </w:p>
    <w:p w14:paraId="52B459BE" w14:textId="77777777" w:rsidR="00153EF0" w:rsidRPr="00153EF0" w:rsidRDefault="00153EF0">
      <w:pPr>
        <w:pStyle w:val="TOC1"/>
        <w:tabs>
          <w:tab w:val="right" w:leader="dot" w:pos="8630"/>
        </w:tabs>
        <w:rPr>
          <w:rFonts w:asciiTheme="minorHAnsi" w:hAnsiTheme="minorHAnsi"/>
          <w:b w:val="0"/>
          <w:noProof/>
          <w:color w:val="262626" w:themeColor="text1" w:themeTint="D9"/>
          <w:lang w:eastAsia="ja-JP"/>
        </w:rPr>
      </w:pPr>
      <w:r w:rsidRPr="00153EF0">
        <w:rPr>
          <w:b w:val="0"/>
          <w:noProof/>
          <w:color w:val="262626" w:themeColor="text1" w:themeTint="D9"/>
        </w:rPr>
        <w:t>Customer Vault Process Flow</w:t>
      </w:r>
      <w:r w:rsidRPr="00153EF0">
        <w:rPr>
          <w:b w:val="0"/>
          <w:noProof/>
          <w:color w:val="262626" w:themeColor="text1" w:themeTint="D9"/>
        </w:rPr>
        <w:tab/>
      </w:r>
      <w:r w:rsidRPr="00153EF0">
        <w:rPr>
          <w:b w:val="0"/>
          <w:noProof/>
          <w:color w:val="262626" w:themeColor="text1" w:themeTint="D9"/>
        </w:rPr>
        <w:fldChar w:fldCharType="begin"/>
      </w:r>
      <w:r w:rsidRPr="00153EF0">
        <w:rPr>
          <w:b w:val="0"/>
          <w:noProof/>
          <w:color w:val="262626" w:themeColor="text1" w:themeTint="D9"/>
        </w:rPr>
        <w:instrText xml:space="preserve"> PAGEREF _Toc327104278 \h </w:instrText>
      </w:r>
      <w:r w:rsidRPr="00153EF0">
        <w:rPr>
          <w:b w:val="0"/>
          <w:noProof/>
          <w:color w:val="262626" w:themeColor="text1" w:themeTint="D9"/>
        </w:rPr>
      </w:r>
      <w:r w:rsidRPr="00153EF0">
        <w:rPr>
          <w:b w:val="0"/>
          <w:noProof/>
          <w:color w:val="262626" w:themeColor="text1" w:themeTint="D9"/>
        </w:rPr>
        <w:fldChar w:fldCharType="separate"/>
      </w:r>
      <w:r w:rsidRPr="00153EF0">
        <w:rPr>
          <w:b w:val="0"/>
          <w:noProof/>
          <w:color w:val="262626" w:themeColor="text1" w:themeTint="D9"/>
        </w:rPr>
        <w:t>2</w:t>
      </w:r>
      <w:r w:rsidRPr="00153EF0">
        <w:rPr>
          <w:b w:val="0"/>
          <w:noProof/>
          <w:color w:val="262626" w:themeColor="text1" w:themeTint="D9"/>
        </w:rPr>
        <w:fldChar w:fldCharType="end"/>
      </w:r>
    </w:p>
    <w:p w14:paraId="6BE3AE9B" w14:textId="77777777" w:rsidR="00153EF0" w:rsidRPr="00153EF0" w:rsidRDefault="00153EF0">
      <w:pPr>
        <w:pStyle w:val="TOC1"/>
        <w:tabs>
          <w:tab w:val="right" w:leader="dot" w:pos="8630"/>
        </w:tabs>
        <w:rPr>
          <w:rFonts w:asciiTheme="minorHAnsi" w:hAnsiTheme="minorHAnsi"/>
          <w:b w:val="0"/>
          <w:noProof/>
          <w:color w:val="262626" w:themeColor="text1" w:themeTint="D9"/>
          <w:lang w:eastAsia="ja-JP"/>
        </w:rPr>
      </w:pPr>
      <w:r w:rsidRPr="00153EF0">
        <w:rPr>
          <w:b w:val="0"/>
          <w:noProof/>
          <w:color w:val="262626" w:themeColor="text1" w:themeTint="D9"/>
        </w:rPr>
        <w:t>Value Proposition</w:t>
      </w:r>
      <w:r w:rsidRPr="00153EF0">
        <w:rPr>
          <w:b w:val="0"/>
          <w:noProof/>
          <w:color w:val="262626" w:themeColor="text1" w:themeTint="D9"/>
        </w:rPr>
        <w:tab/>
      </w:r>
      <w:r w:rsidRPr="00153EF0">
        <w:rPr>
          <w:b w:val="0"/>
          <w:noProof/>
          <w:color w:val="262626" w:themeColor="text1" w:themeTint="D9"/>
        </w:rPr>
        <w:fldChar w:fldCharType="begin"/>
      </w:r>
      <w:r w:rsidRPr="00153EF0">
        <w:rPr>
          <w:b w:val="0"/>
          <w:noProof/>
          <w:color w:val="262626" w:themeColor="text1" w:themeTint="D9"/>
        </w:rPr>
        <w:instrText xml:space="preserve"> PAGEREF _Toc327104279 \h </w:instrText>
      </w:r>
      <w:r w:rsidRPr="00153EF0">
        <w:rPr>
          <w:b w:val="0"/>
          <w:noProof/>
          <w:color w:val="262626" w:themeColor="text1" w:themeTint="D9"/>
        </w:rPr>
      </w:r>
      <w:r w:rsidRPr="00153EF0">
        <w:rPr>
          <w:b w:val="0"/>
          <w:noProof/>
          <w:color w:val="262626" w:themeColor="text1" w:themeTint="D9"/>
        </w:rPr>
        <w:fldChar w:fldCharType="separate"/>
      </w:r>
      <w:r w:rsidRPr="00153EF0">
        <w:rPr>
          <w:b w:val="0"/>
          <w:noProof/>
          <w:color w:val="262626" w:themeColor="text1" w:themeTint="D9"/>
        </w:rPr>
        <w:t>3</w:t>
      </w:r>
      <w:r w:rsidRPr="00153EF0">
        <w:rPr>
          <w:b w:val="0"/>
          <w:noProof/>
          <w:color w:val="262626" w:themeColor="text1" w:themeTint="D9"/>
        </w:rPr>
        <w:fldChar w:fldCharType="end"/>
      </w:r>
    </w:p>
    <w:p w14:paraId="1CC9DD31" w14:textId="77777777" w:rsidR="00C9366D" w:rsidRDefault="0089474F">
      <w:pPr>
        <w:rPr>
          <w:noProof/>
        </w:rPr>
      </w:pPr>
      <w:r w:rsidRPr="00153EF0">
        <w:rPr>
          <w:noProof/>
          <w:color w:val="262626" w:themeColor="text1" w:themeTint="D9"/>
        </w:rPr>
        <w:fldChar w:fldCharType="end"/>
      </w:r>
    </w:p>
    <w:p w14:paraId="07376DC2" w14:textId="7778D1F8" w:rsidR="00C9366D" w:rsidRDefault="00C9366D">
      <w:pPr>
        <w:rPr>
          <w:noProof/>
        </w:rPr>
      </w:pPr>
    </w:p>
    <w:p w14:paraId="27A61934" w14:textId="77777777" w:rsidR="005541A7" w:rsidRDefault="005541A7" w:rsidP="0089474F">
      <w:pPr>
        <w:pStyle w:val="Heading1"/>
        <w:rPr>
          <w:rFonts w:asciiTheme="minorHAnsi" w:eastAsiaTheme="minorEastAsia" w:hAnsiTheme="minorHAnsi" w:cstheme="minorBidi"/>
          <w:b w:val="0"/>
          <w:bCs w:val="0"/>
          <w:noProof/>
          <w:color w:val="auto"/>
          <w:sz w:val="24"/>
          <w:szCs w:val="24"/>
        </w:rPr>
      </w:pPr>
    </w:p>
    <w:p w14:paraId="2A21A3DA" w14:textId="77777777" w:rsidR="005541A7" w:rsidRDefault="005541A7" w:rsidP="005541A7"/>
    <w:p w14:paraId="6797B25E" w14:textId="77777777" w:rsidR="005541A7" w:rsidRDefault="005541A7" w:rsidP="005541A7"/>
    <w:p w14:paraId="41A2A7A0" w14:textId="77777777" w:rsidR="005541A7" w:rsidRDefault="005541A7" w:rsidP="005541A7"/>
    <w:p w14:paraId="1805790C" w14:textId="77777777" w:rsidR="005541A7" w:rsidRDefault="005541A7" w:rsidP="005541A7"/>
    <w:p w14:paraId="2501859F" w14:textId="77777777" w:rsidR="005541A7" w:rsidRDefault="005541A7" w:rsidP="005541A7"/>
    <w:p w14:paraId="466FEA72" w14:textId="77777777" w:rsidR="005541A7" w:rsidRDefault="005541A7" w:rsidP="005541A7"/>
    <w:p w14:paraId="4E81EE68" w14:textId="77777777" w:rsidR="005541A7" w:rsidRDefault="005541A7" w:rsidP="005541A7"/>
    <w:p w14:paraId="69A3E133" w14:textId="77777777" w:rsidR="005541A7" w:rsidRDefault="005541A7" w:rsidP="005541A7"/>
    <w:p w14:paraId="4F033E10" w14:textId="77777777" w:rsidR="005541A7" w:rsidRDefault="005541A7" w:rsidP="005541A7"/>
    <w:p w14:paraId="4A70D22A" w14:textId="77777777" w:rsidR="005541A7" w:rsidRDefault="005541A7" w:rsidP="005541A7"/>
    <w:p w14:paraId="653B73BE" w14:textId="77777777" w:rsidR="005541A7" w:rsidRDefault="005541A7" w:rsidP="005541A7"/>
    <w:p w14:paraId="34D41BBD" w14:textId="77777777" w:rsidR="005541A7" w:rsidRDefault="005541A7" w:rsidP="005541A7"/>
    <w:p w14:paraId="4838E1B9" w14:textId="77777777" w:rsidR="005541A7" w:rsidRDefault="005541A7" w:rsidP="005541A7"/>
    <w:p w14:paraId="49385BA9" w14:textId="77777777" w:rsidR="005541A7" w:rsidRDefault="005541A7" w:rsidP="005541A7"/>
    <w:p w14:paraId="122139FD" w14:textId="77777777" w:rsidR="005541A7" w:rsidRDefault="005541A7" w:rsidP="005541A7"/>
    <w:p w14:paraId="1FBA5F5A" w14:textId="77777777" w:rsidR="005541A7" w:rsidRDefault="005541A7" w:rsidP="005541A7"/>
    <w:p w14:paraId="18AE5AC9" w14:textId="77777777" w:rsidR="00153EF0" w:rsidRDefault="00153EF0" w:rsidP="005541A7"/>
    <w:p w14:paraId="73DD88D7" w14:textId="77777777" w:rsidR="00153EF0" w:rsidRDefault="00153EF0" w:rsidP="005541A7"/>
    <w:p w14:paraId="4BE8BB43" w14:textId="77777777" w:rsidR="005541A7" w:rsidRPr="005541A7" w:rsidRDefault="005541A7" w:rsidP="005541A7"/>
    <w:p w14:paraId="5157176E" w14:textId="5998E048" w:rsidR="00C9366D" w:rsidRPr="0089474F" w:rsidRDefault="005541A7" w:rsidP="0089474F">
      <w:pPr>
        <w:pStyle w:val="Heading1"/>
        <w:rPr>
          <w:sz w:val="28"/>
        </w:rPr>
      </w:pPr>
      <w:bookmarkStart w:id="0" w:name="_Toc327104277"/>
      <w:r>
        <w:rPr>
          <w:sz w:val="28"/>
        </w:rPr>
        <w:lastRenderedPageBreak/>
        <w:t>Customer Vault Overview</w:t>
      </w:r>
      <w:bookmarkStart w:id="1" w:name="_GoBack"/>
      <w:bookmarkEnd w:id="0"/>
      <w:bookmarkEnd w:id="1"/>
    </w:p>
    <w:p w14:paraId="598287F8" w14:textId="77777777" w:rsidR="00A36CEC" w:rsidRDefault="00A36CEC" w:rsidP="008F5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p w14:paraId="4B10E6F0" w14:textId="77777777" w:rsidR="005541A7" w:rsidRPr="005541A7" w:rsidRDefault="005541A7" w:rsidP="005541A7">
      <w:pPr>
        <w:rPr>
          <w:rFonts w:asciiTheme="majorHAnsi" w:hAnsiTheme="majorHAnsi"/>
          <w:b/>
        </w:rPr>
      </w:pPr>
      <w:r w:rsidRPr="005541A7">
        <w:rPr>
          <w:rFonts w:asciiTheme="majorHAnsi" w:hAnsiTheme="majorHAnsi"/>
          <w:b/>
        </w:rPr>
        <w:t>Security Concerns</w:t>
      </w:r>
    </w:p>
    <w:p w14:paraId="62786325" w14:textId="77777777" w:rsidR="005541A7" w:rsidRDefault="005541A7" w:rsidP="005541A7">
      <w:pPr>
        <w:rPr>
          <w:rFonts w:asciiTheme="majorHAnsi" w:hAnsiTheme="majorHAnsi"/>
          <w:sz w:val="22"/>
        </w:rPr>
      </w:pPr>
      <w:r w:rsidRPr="005541A7">
        <w:rPr>
          <w:rFonts w:asciiTheme="majorHAnsi" w:hAnsiTheme="majorHAnsi"/>
          <w:sz w:val="22"/>
        </w:rPr>
        <w:t>The Customer Vault was designed specifically for businesses of any size to address concerns about handling customer payment information. Visa and MasterCard have instituted the Payment Card Industry (PCI) Data Security Standard to protect cardholder data–wherever it resides–ensuring that members, merchants, and service providers maintain the highest information security standard.</w:t>
      </w:r>
    </w:p>
    <w:p w14:paraId="4A3B5F18" w14:textId="77777777" w:rsidR="00BC6AB9" w:rsidRPr="005541A7" w:rsidRDefault="00BC6AB9" w:rsidP="005541A7">
      <w:pPr>
        <w:rPr>
          <w:rFonts w:asciiTheme="majorHAnsi" w:hAnsiTheme="majorHAnsi"/>
          <w:sz w:val="22"/>
        </w:rPr>
      </w:pPr>
    </w:p>
    <w:p w14:paraId="3F807A1A" w14:textId="77777777" w:rsidR="005541A7" w:rsidRPr="005541A7" w:rsidRDefault="005541A7" w:rsidP="005541A7">
      <w:pPr>
        <w:rPr>
          <w:rFonts w:asciiTheme="majorHAnsi" w:hAnsiTheme="majorHAnsi"/>
          <w:sz w:val="22"/>
        </w:rPr>
      </w:pPr>
      <w:r w:rsidRPr="005541A7">
        <w:rPr>
          <w:rFonts w:asciiTheme="majorHAnsi" w:hAnsiTheme="majorHAnsi"/>
          <w:sz w:val="22"/>
        </w:rPr>
        <w:t>These associations have also deemed that merchants will be held liable for any breach of cardholder data. This has become a major concern for merchants who may handle credit card or electronic check payments, but are looking to avoid the tremendous costs and resources involved in becoming PCI compliant.</w:t>
      </w:r>
    </w:p>
    <w:p w14:paraId="7AE2487F" w14:textId="77777777" w:rsidR="005541A7" w:rsidRPr="005541A7" w:rsidRDefault="005541A7" w:rsidP="005541A7">
      <w:pPr>
        <w:rPr>
          <w:rFonts w:asciiTheme="majorHAnsi" w:hAnsiTheme="majorHAnsi"/>
          <w:b/>
        </w:rPr>
      </w:pPr>
    </w:p>
    <w:p w14:paraId="3ED9145B" w14:textId="584F7257" w:rsidR="005541A7" w:rsidRPr="005541A7" w:rsidRDefault="005541A7" w:rsidP="005541A7">
      <w:pPr>
        <w:rPr>
          <w:rFonts w:asciiTheme="majorHAnsi" w:hAnsiTheme="majorHAnsi"/>
          <w:b/>
        </w:rPr>
      </w:pPr>
      <w:r w:rsidRPr="005541A7">
        <w:rPr>
          <w:rFonts w:asciiTheme="majorHAnsi" w:hAnsiTheme="majorHAnsi"/>
          <w:b/>
        </w:rPr>
        <w:t>Customer Vault Solution</w:t>
      </w:r>
    </w:p>
    <w:p w14:paraId="28EEC9E4" w14:textId="77777777" w:rsidR="005541A7" w:rsidRDefault="005541A7" w:rsidP="005541A7">
      <w:pPr>
        <w:rPr>
          <w:rFonts w:asciiTheme="majorHAnsi" w:hAnsiTheme="majorHAnsi"/>
          <w:sz w:val="22"/>
        </w:rPr>
      </w:pPr>
      <w:r w:rsidRPr="005541A7">
        <w:rPr>
          <w:rFonts w:asciiTheme="majorHAnsi" w:hAnsiTheme="majorHAnsi"/>
          <w:sz w:val="22"/>
        </w:rPr>
        <w:t xml:space="preserve">The Customer Vault allows merchants to transmit their payment information through a Secure Sockets Layer (SSL) connection for storage in our Level 1 PCI certified data facility. Once the customer record has been securely transmitted to the Customer Vault, the merchant can then initiate transactions remotely without having to access cardholder information directly. This process is accomplished without the merchant storing the customer’s payment information in their local database or payment application. </w:t>
      </w:r>
    </w:p>
    <w:p w14:paraId="5604289F" w14:textId="77777777" w:rsidR="005541A7" w:rsidRPr="005541A7" w:rsidRDefault="005541A7" w:rsidP="005541A7">
      <w:pPr>
        <w:rPr>
          <w:rFonts w:asciiTheme="majorHAnsi" w:hAnsiTheme="majorHAnsi"/>
          <w:sz w:val="22"/>
        </w:rPr>
      </w:pPr>
    </w:p>
    <w:p w14:paraId="6BC3F9B4" w14:textId="087B40A0" w:rsidR="005541A7" w:rsidRPr="005541A7" w:rsidRDefault="005541A7" w:rsidP="005541A7">
      <w:pPr>
        <w:rPr>
          <w:rFonts w:asciiTheme="majorHAnsi" w:hAnsiTheme="majorHAnsi"/>
          <w:sz w:val="22"/>
        </w:rPr>
      </w:pPr>
      <w:r w:rsidRPr="005541A7">
        <w:rPr>
          <w:rFonts w:asciiTheme="majorHAnsi" w:hAnsiTheme="majorHAnsi"/>
          <w:sz w:val="22"/>
        </w:rPr>
        <w:t xml:space="preserve">Furthermore, using the </w:t>
      </w:r>
      <w:r w:rsidR="00242F36">
        <w:rPr>
          <w:rFonts w:asciiTheme="majorHAnsi" w:hAnsiTheme="majorHAnsi"/>
          <w:sz w:val="22"/>
        </w:rPr>
        <w:t>gateway’s</w:t>
      </w:r>
      <w:r w:rsidRPr="005541A7">
        <w:rPr>
          <w:rFonts w:asciiTheme="majorHAnsi" w:hAnsiTheme="majorHAnsi"/>
          <w:sz w:val="22"/>
        </w:rPr>
        <w:t xml:space="preserve"> </w:t>
      </w:r>
      <w:r w:rsidR="002A7A2B">
        <w:rPr>
          <w:rFonts w:asciiTheme="majorHAnsi" w:hAnsiTheme="majorHAnsi"/>
          <w:sz w:val="22"/>
        </w:rPr>
        <w:t>3 Step</w:t>
      </w:r>
      <w:r w:rsidRPr="005541A7">
        <w:rPr>
          <w:rFonts w:asciiTheme="majorHAnsi" w:hAnsiTheme="majorHAnsi"/>
          <w:sz w:val="22"/>
        </w:rPr>
        <w:t xml:space="preserve"> Redirect Method in conjunction with the Customer Vault allows merchants to process transactions </w:t>
      </w:r>
      <w:r w:rsidRPr="005541A7">
        <w:rPr>
          <w:rFonts w:asciiTheme="majorHAnsi" w:hAnsiTheme="majorHAnsi"/>
          <w:b/>
          <w:sz w:val="22"/>
        </w:rPr>
        <w:t>without transmitting any payment information</w:t>
      </w:r>
      <w:r w:rsidRPr="005541A7">
        <w:rPr>
          <w:rFonts w:asciiTheme="majorHAnsi" w:hAnsiTheme="majorHAnsi"/>
          <w:sz w:val="22"/>
        </w:rPr>
        <w:t xml:space="preserve"> through their web application. This unique approach provides best of class application flexibility without any PCI compliancy concerns. The </w:t>
      </w:r>
      <w:r w:rsidR="002A7A2B">
        <w:rPr>
          <w:rFonts w:asciiTheme="majorHAnsi" w:hAnsiTheme="majorHAnsi"/>
          <w:sz w:val="22"/>
        </w:rPr>
        <w:t>3 Step</w:t>
      </w:r>
      <w:r w:rsidRPr="005541A7">
        <w:rPr>
          <w:rFonts w:asciiTheme="majorHAnsi" w:hAnsiTheme="majorHAnsi"/>
          <w:sz w:val="22"/>
        </w:rPr>
        <w:t xml:space="preserve"> Redirect API (Advanced Programmers Interface) is available by request of the project manager.</w:t>
      </w:r>
    </w:p>
    <w:p w14:paraId="4E183872" w14:textId="77777777" w:rsidR="00E579F4" w:rsidRDefault="00E579F4" w:rsidP="008F5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365F91" w:themeColor="accent1" w:themeShade="BF"/>
          <w:sz w:val="28"/>
          <w:szCs w:val="26"/>
        </w:rPr>
      </w:pPr>
    </w:p>
    <w:p w14:paraId="727AF2B7" w14:textId="4B59629D" w:rsidR="008F527B" w:rsidRPr="0089474F" w:rsidRDefault="005541A7" w:rsidP="0089474F">
      <w:pPr>
        <w:pStyle w:val="Heading1"/>
        <w:rPr>
          <w:sz w:val="28"/>
        </w:rPr>
      </w:pPr>
      <w:bookmarkStart w:id="2" w:name="_Toc327104278"/>
      <w:r>
        <w:rPr>
          <w:sz w:val="28"/>
        </w:rPr>
        <w:t>Customer Vault Process Flow</w:t>
      </w:r>
      <w:bookmarkEnd w:id="2"/>
    </w:p>
    <w:p w14:paraId="6BDB5CC3" w14:textId="77777777" w:rsidR="00A36CEC" w:rsidRDefault="00A36CEC" w:rsidP="008F5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365F91" w:themeColor="accent1" w:themeShade="BF"/>
          <w:sz w:val="26"/>
          <w:szCs w:val="26"/>
        </w:rPr>
      </w:pPr>
    </w:p>
    <w:p w14:paraId="09BBAB90" w14:textId="7FB1643D" w:rsidR="005541A7" w:rsidRPr="005541A7" w:rsidRDefault="005541A7" w:rsidP="005541A7">
      <w:pPr>
        <w:rPr>
          <w:rFonts w:asciiTheme="majorHAnsi" w:hAnsiTheme="majorHAnsi"/>
          <w:b/>
        </w:rPr>
      </w:pPr>
      <w:r w:rsidRPr="005541A7">
        <w:rPr>
          <w:rFonts w:asciiTheme="majorHAnsi" w:hAnsiTheme="majorHAnsi"/>
          <w:b/>
        </w:rPr>
        <w:t>An initial Customer Record creation using the Customer Vault</w:t>
      </w:r>
    </w:p>
    <w:p w14:paraId="535F6973" w14:textId="205220A2" w:rsidR="005541A7" w:rsidRPr="005541A7" w:rsidRDefault="005541A7" w:rsidP="005541A7">
      <w:pPr>
        <w:pStyle w:val="ListParagraph"/>
        <w:numPr>
          <w:ilvl w:val="0"/>
          <w:numId w:val="14"/>
        </w:numPr>
        <w:spacing w:after="200" w:line="276" w:lineRule="auto"/>
        <w:rPr>
          <w:rFonts w:asciiTheme="majorHAnsi" w:hAnsiTheme="majorHAnsi"/>
          <w:sz w:val="22"/>
        </w:rPr>
      </w:pPr>
      <w:r w:rsidRPr="005541A7">
        <w:rPr>
          <w:rFonts w:asciiTheme="majorHAnsi" w:hAnsiTheme="majorHAnsi"/>
          <w:sz w:val="22"/>
        </w:rPr>
        <w:t xml:space="preserve">The Cardholder securely submits sensitive payment details </w:t>
      </w:r>
      <w:r w:rsidRPr="005541A7">
        <w:rPr>
          <w:rFonts w:asciiTheme="majorHAnsi" w:hAnsiTheme="majorHAnsi"/>
          <w:i/>
          <w:sz w:val="22"/>
        </w:rPr>
        <w:t>directly</w:t>
      </w:r>
      <w:r w:rsidRPr="005541A7">
        <w:rPr>
          <w:rFonts w:asciiTheme="majorHAnsi" w:hAnsiTheme="majorHAnsi"/>
          <w:sz w:val="22"/>
        </w:rPr>
        <w:t xml:space="preserve"> to the Customer Vault.</w:t>
      </w:r>
    </w:p>
    <w:p w14:paraId="7143F58B" w14:textId="4F685CE4" w:rsidR="005541A7" w:rsidRPr="005541A7" w:rsidRDefault="005541A7" w:rsidP="005541A7">
      <w:pPr>
        <w:pStyle w:val="ListParagraph"/>
        <w:numPr>
          <w:ilvl w:val="0"/>
          <w:numId w:val="14"/>
        </w:numPr>
        <w:spacing w:after="200" w:line="276" w:lineRule="auto"/>
        <w:rPr>
          <w:rFonts w:asciiTheme="majorHAnsi" w:hAnsiTheme="majorHAnsi"/>
          <w:sz w:val="22"/>
        </w:rPr>
      </w:pPr>
      <w:r w:rsidRPr="005541A7">
        <w:rPr>
          <w:rFonts w:asciiTheme="majorHAnsi" w:hAnsiTheme="majorHAnsi"/>
          <w:sz w:val="22"/>
        </w:rPr>
        <w:t>The Payment Gateway performs the requested operation and the results of the transactions are returned to the Merchant’s web application. Simultaneously, a Customer Vault token of “12345” which contains all customer data including payment details is created.</w:t>
      </w:r>
    </w:p>
    <w:p w14:paraId="0B697C81" w14:textId="77777777" w:rsidR="005541A7" w:rsidRPr="005541A7" w:rsidRDefault="005541A7" w:rsidP="005541A7">
      <w:pPr>
        <w:pStyle w:val="ListParagraph"/>
        <w:numPr>
          <w:ilvl w:val="0"/>
          <w:numId w:val="14"/>
        </w:numPr>
        <w:spacing w:after="200" w:line="276" w:lineRule="auto"/>
        <w:rPr>
          <w:rFonts w:asciiTheme="majorHAnsi" w:hAnsiTheme="majorHAnsi"/>
          <w:sz w:val="22"/>
        </w:rPr>
      </w:pPr>
      <w:r w:rsidRPr="005541A7">
        <w:rPr>
          <w:rFonts w:asciiTheme="majorHAnsi" w:hAnsiTheme="majorHAnsi"/>
          <w:sz w:val="22"/>
        </w:rPr>
        <w:t>The Merchant’s web application displays the appropriate message to the customer as to whether the transaction was approved or declined.</w:t>
      </w:r>
    </w:p>
    <w:p w14:paraId="68DA281E" w14:textId="77777777" w:rsidR="005541A7" w:rsidRPr="005541A7" w:rsidRDefault="005541A7" w:rsidP="005541A7">
      <w:pPr>
        <w:pStyle w:val="ListParagraph"/>
        <w:ind w:left="360"/>
        <w:rPr>
          <w:rFonts w:asciiTheme="majorHAnsi" w:hAnsiTheme="majorHAnsi"/>
          <w:b/>
          <w:i/>
          <w:sz w:val="22"/>
        </w:rPr>
      </w:pPr>
      <w:r w:rsidRPr="005541A7">
        <w:rPr>
          <w:rFonts w:asciiTheme="majorHAnsi" w:hAnsiTheme="majorHAnsi"/>
          <w:b/>
          <w:i/>
          <w:sz w:val="22"/>
        </w:rPr>
        <w:t>30 days later, Merchant wishes to charge the customer again using Customer Vault token “12345”</w:t>
      </w:r>
    </w:p>
    <w:p w14:paraId="1441FD23" w14:textId="77777777" w:rsidR="005541A7" w:rsidRPr="005541A7" w:rsidRDefault="005541A7" w:rsidP="005541A7">
      <w:pPr>
        <w:pStyle w:val="ListParagraph"/>
        <w:numPr>
          <w:ilvl w:val="0"/>
          <w:numId w:val="14"/>
        </w:numPr>
        <w:spacing w:after="200" w:line="276" w:lineRule="auto"/>
        <w:rPr>
          <w:rFonts w:asciiTheme="majorHAnsi" w:hAnsiTheme="majorHAnsi"/>
          <w:sz w:val="22"/>
        </w:rPr>
      </w:pPr>
      <w:r w:rsidRPr="005541A7">
        <w:rPr>
          <w:rFonts w:asciiTheme="majorHAnsi" w:hAnsiTheme="majorHAnsi"/>
          <w:sz w:val="22"/>
        </w:rPr>
        <w:t>The Merchant’s web application connects to the Customer Vault and remotely loads customer record “12345” to initiate a $50.00 charge.</w:t>
      </w:r>
    </w:p>
    <w:p w14:paraId="4298F351" w14:textId="77777777" w:rsidR="005541A7" w:rsidRPr="005541A7" w:rsidRDefault="005541A7" w:rsidP="005541A7">
      <w:pPr>
        <w:pStyle w:val="ListParagraph"/>
        <w:numPr>
          <w:ilvl w:val="0"/>
          <w:numId w:val="14"/>
        </w:numPr>
        <w:spacing w:after="200" w:line="276" w:lineRule="auto"/>
        <w:rPr>
          <w:rFonts w:asciiTheme="majorHAnsi" w:hAnsiTheme="majorHAnsi"/>
          <w:sz w:val="22"/>
        </w:rPr>
      </w:pPr>
      <w:r w:rsidRPr="005541A7">
        <w:rPr>
          <w:rFonts w:asciiTheme="majorHAnsi" w:hAnsiTheme="majorHAnsi"/>
          <w:sz w:val="22"/>
        </w:rPr>
        <w:lastRenderedPageBreak/>
        <w:t>The Payment Gateway processes the transaction and responds to the merchant with the transaction response from the processor(s).</w:t>
      </w:r>
    </w:p>
    <w:p w14:paraId="44C11179" w14:textId="77777777" w:rsidR="005541A7" w:rsidRDefault="005541A7" w:rsidP="008F5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365F91" w:themeColor="accent1" w:themeShade="BF"/>
          <w:sz w:val="26"/>
          <w:szCs w:val="26"/>
        </w:rPr>
      </w:pPr>
    </w:p>
    <w:p w14:paraId="066A5EA3" w14:textId="6D9D3926" w:rsidR="005541A7" w:rsidRDefault="005541A7" w:rsidP="008F5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sz w:val="22"/>
          <w:szCs w:val="22"/>
        </w:rPr>
      </w:pPr>
      <w:r>
        <w:rPr>
          <w:noProof/>
        </w:rPr>
        <w:drawing>
          <wp:inline distT="0" distB="0" distL="0" distR="0" wp14:anchorId="57B863CD" wp14:editId="07F9DE8A">
            <wp:extent cx="4572000" cy="3914043"/>
            <wp:effectExtent l="0" t="0" r="0" b="0"/>
            <wp:docPr id="2" name="Picture 1" descr="Customer_Vault_Redirect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tomer_Vault_Redirect_fi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381" cy="3914369"/>
                    </a:xfrm>
                    <a:prstGeom prst="rect">
                      <a:avLst/>
                    </a:prstGeom>
                    <a:noFill/>
                    <a:ln>
                      <a:noFill/>
                    </a:ln>
                  </pic:spPr>
                </pic:pic>
              </a:graphicData>
            </a:graphic>
          </wp:inline>
        </w:drawing>
      </w:r>
    </w:p>
    <w:p w14:paraId="09BAB05C" w14:textId="77777777" w:rsidR="005541A7" w:rsidRDefault="005541A7" w:rsidP="00DD0C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p w14:paraId="482B4879" w14:textId="2AD158AF" w:rsidR="00E579F4" w:rsidRDefault="005541A7" w:rsidP="0089474F">
      <w:pPr>
        <w:pStyle w:val="Heading1"/>
        <w:rPr>
          <w:sz w:val="28"/>
        </w:rPr>
      </w:pPr>
      <w:bookmarkStart w:id="3" w:name="_Toc327104279"/>
      <w:r>
        <w:rPr>
          <w:sz w:val="28"/>
        </w:rPr>
        <w:t>Value Proposition</w:t>
      </w:r>
      <w:bookmarkEnd w:id="3"/>
    </w:p>
    <w:p w14:paraId="7CE66375" w14:textId="77777777" w:rsidR="005541A7" w:rsidRPr="005541A7" w:rsidRDefault="005541A7" w:rsidP="005541A7"/>
    <w:p w14:paraId="33E907DC" w14:textId="77777777" w:rsidR="005541A7" w:rsidRPr="005541A7" w:rsidRDefault="005541A7" w:rsidP="005541A7">
      <w:pPr>
        <w:rPr>
          <w:rFonts w:asciiTheme="majorHAnsi" w:hAnsiTheme="majorHAnsi"/>
          <w:sz w:val="22"/>
        </w:rPr>
      </w:pPr>
      <w:r w:rsidRPr="005541A7">
        <w:rPr>
          <w:rFonts w:asciiTheme="majorHAnsi" w:hAnsiTheme="majorHAnsi"/>
          <w:sz w:val="22"/>
        </w:rPr>
        <w:t xml:space="preserve">Merchants who utilize the Customer Vault can process transactions and maintain an up-to-date customer database without storing </w:t>
      </w:r>
      <w:r w:rsidRPr="005541A7">
        <w:rPr>
          <w:rFonts w:asciiTheme="majorHAnsi" w:hAnsiTheme="majorHAnsi"/>
          <w:i/>
          <w:sz w:val="22"/>
        </w:rPr>
        <w:t>any</w:t>
      </w:r>
      <w:r w:rsidRPr="005541A7">
        <w:rPr>
          <w:rFonts w:asciiTheme="majorHAnsi" w:hAnsiTheme="majorHAnsi"/>
          <w:sz w:val="22"/>
        </w:rPr>
        <w:t xml:space="preserve"> customer payment details. All sensitive customer data was transmitted through encrypted channels and authorizations, captures, refunds and settlements were managed remotely without storing any cardholder data locally. This gives the merchant unparalleled application flexibility while shifting its liability of PCI compliancy.</w:t>
      </w:r>
    </w:p>
    <w:p w14:paraId="4C809BD0" w14:textId="77777777" w:rsidR="005541A7" w:rsidRPr="005541A7" w:rsidRDefault="005541A7" w:rsidP="005541A7">
      <w:pPr>
        <w:rPr>
          <w:rFonts w:asciiTheme="majorHAnsi" w:hAnsiTheme="majorHAnsi"/>
          <w:sz w:val="22"/>
        </w:rPr>
      </w:pPr>
    </w:p>
    <w:p w14:paraId="0DDF59B1" w14:textId="77777777" w:rsidR="005541A7" w:rsidRPr="005541A7" w:rsidRDefault="005541A7" w:rsidP="005541A7">
      <w:pPr>
        <w:rPr>
          <w:rFonts w:asciiTheme="majorHAnsi" w:hAnsiTheme="majorHAnsi"/>
          <w:sz w:val="22"/>
        </w:rPr>
      </w:pPr>
      <w:r w:rsidRPr="005541A7">
        <w:rPr>
          <w:rFonts w:asciiTheme="majorHAnsi" w:hAnsiTheme="majorHAnsi"/>
          <w:sz w:val="22"/>
        </w:rPr>
        <w:t>The Customer Vault can store both credit card and electronic check payment details. Access to the Customer Vault is granted through a secure online interface. The interface specification is described by an API (Advanced Programmers Interface) Integration Manual which is sent by request to the project manager. The Customer Vault and Payment Gateway interface has been Level 1 PCI compliant since 2004.</w:t>
      </w:r>
    </w:p>
    <w:p w14:paraId="528B9DF4" w14:textId="46FB5B44" w:rsidR="00DD0C6A" w:rsidRPr="00DD0C6A" w:rsidRDefault="00DD0C6A" w:rsidP="005541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sectPr w:rsidR="00DD0C6A" w:rsidRPr="00DD0C6A" w:rsidSect="00D905E0">
      <w:headerReference w:type="default" r:id="rId11"/>
      <w:footerReference w:type="even"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FF87B" w14:textId="77777777" w:rsidR="00BC6C27" w:rsidRDefault="00BC6C27" w:rsidP="00D905E0">
      <w:r>
        <w:separator/>
      </w:r>
    </w:p>
  </w:endnote>
  <w:endnote w:type="continuationSeparator" w:id="0">
    <w:p w14:paraId="0438EF12" w14:textId="77777777" w:rsidR="00BC6C27" w:rsidRDefault="00BC6C27" w:rsidP="00D9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A176D" w14:textId="77777777" w:rsidR="00BC6C27" w:rsidRDefault="00BC6C27" w:rsidP="00D905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F16EF3" w14:textId="77777777" w:rsidR="00BC6C27" w:rsidRDefault="00BC6C27" w:rsidP="00D905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CC075" w14:textId="77777777" w:rsidR="00BC6C27" w:rsidRDefault="00BC6C27" w:rsidP="00D905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0134">
      <w:rPr>
        <w:rStyle w:val="PageNumber"/>
        <w:noProof/>
      </w:rPr>
      <w:t>3</w:t>
    </w:r>
    <w:r>
      <w:rPr>
        <w:rStyle w:val="PageNumber"/>
      </w:rPr>
      <w:fldChar w:fldCharType="end"/>
    </w:r>
  </w:p>
  <w:p w14:paraId="097CD10E" w14:textId="77777777" w:rsidR="00BC6C27" w:rsidRDefault="00BC6C27" w:rsidP="00D905E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F1D43" w14:textId="77777777" w:rsidR="00BC6C27" w:rsidRDefault="00BC6C27" w:rsidP="00D905E0">
      <w:r>
        <w:separator/>
      </w:r>
    </w:p>
  </w:footnote>
  <w:footnote w:type="continuationSeparator" w:id="0">
    <w:p w14:paraId="2F6BF03F" w14:textId="77777777" w:rsidR="00BC6C27" w:rsidRDefault="00BC6C27" w:rsidP="00D9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0425C" w14:textId="2286B4D9" w:rsidR="00BC6C27" w:rsidRDefault="00BC6C27">
    <w:pPr>
      <w:pStyle w:val="Header"/>
    </w:pPr>
    <w:r>
      <w:rPr>
        <w:noProof/>
      </w:rPr>
      <w:drawing>
        <wp:anchor distT="0" distB="0" distL="114300" distR="114300" simplePos="0" relativeHeight="251659264" behindDoc="0" locked="0" layoutInCell="1" allowOverlap="1" wp14:anchorId="24D4A500" wp14:editId="71017631">
          <wp:simplePos x="0" y="0"/>
          <wp:positionH relativeFrom="page">
            <wp:posOffset>6193155</wp:posOffset>
          </wp:positionH>
          <wp:positionV relativeFrom="page">
            <wp:posOffset>342900</wp:posOffset>
          </wp:positionV>
          <wp:extent cx="1068070" cy="922655"/>
          <wp:effectExtent l="0" t="0" r="0" b="0"/>
          <wp:wrapThrough wrapText="bothSides">
            <wp:wrapPolygon edited="0">
              <wp:start x="9246" y="0"/>
              <wp:lineTo x="5394" y="7136"/>
              <wp:lineTo x="0" y="14271"/>
              <wp:lineTo x="0" y="19623"/>
              <wp:lineTo x="3467" y="20961"/>
              <wp:lineTo x="18107" y="20961"/>
              <wp:lineTo x="21189" y="19623"/>
              <wp:lineTo x="21189" y="14271"/>
              <wp:lineTo x="15795" y="7136"/>
              <wp:lineTo x="11558" y="0"/>
              <wp:lineTo x="9246"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Company.png"/>
                  <pic:cNvPicPr/>
                </pic:nvPicPr>
                <pic:blipFill>
                  <a:blip r:embed="rId1">
                    <a:extLst>
                      <a:ext uri="{28A0092B-C50C-407E-A947-70E740481C1C}">
                        <a14:useLocalDpi xmlns:a14="http://schemas.microsoft.com/office/drawing/2010/main" val="0"/>
                      </a:ext>
                    </a:extLst>
                  </a:blip>
                  <a:stretch>
                    <a:fillRect/>
                  </a:stretch>
                </pic:blipFill>
                <pic:spPr>
                  <a:xfrm>
                    <a:off x="0" y="0"/>
                    <a:ext cx="1068070" cy="9226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2FC"/>
    <w:multiLevelType w:val="hybridMultilevel"/>
    <w:tmpl w:val="B768B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158FF"/>
    <w:multiLevelType w:val="hybridMultilevel"/>
    <w:tmpl w:val="FFFAD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7239F"/>
    <w:multiLevelType w:val="hybridMultilevel"/>
    <w:tmpl w:val="84BEE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21C6F"/>
    <w:multiLevelType w:val="hybridMultilevel"/>
    <w:tmpl w:val="0C2A0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D3112"/>
    <w:multiLevelType w:val="hybridMultilevel"/>
    <w:tmpl w:val="6C848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5BD4A7D"/>
    <w:multiLevelType w:val="hybridMultilevel"/>
    <w:tmpl w:val="B5167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A31AF"/>
    <w:multiLevelType w:val="hybridMultilevel"/>
    <w:tmpl w:val="7118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672467"/>
    <w:multiLevelType w:val="hybridMultilevel"/>
    <w:tmpl w:val="734A4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93732F"/>
    <w:multiLevelType w:val="hybridMultilevel"/>
    <w:tmpl w:val="20A81A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AA7441"/>
    <w:multiLevelType w:val="hybridMultilevel"/>
    <w:tmpl w:val="01765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2555A4"/>
    <w:multiLevelType w:val="hybridMultilevel"/>
    <w:tmpl w:val="2738F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B611A3"/>
    <w:multiLevelType w:val="hybridMultilevel"/>
    <w:tmpl w:val="9B909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AC7086"/>
    <w:multiLevelType w:val="hybridMultilevel"/>
    <w:tmpl w:val="4236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3F19A6"/>
    <w:multiLevelType w:val="hybridMultilevel"/>
    <w:tmpl w:val="3686F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2"/>
  </w:num>
  <w:num w:numId="4">
    <w:abstractNumId w:val="7"/>
  </w:num>
  <w:num w:numId="5">
    <w:abstractNumId w:val="6"/>
  </w:num>
  <w:num w:numId="6">
    <w:abstractNumId w:val="11"/>
  </w:num>
  <w:num w:numId="7">
    <w:abstractNumId w:val="10"/>
  </w:num>
  <w:num w:numId="8">
    <w:abstractNumId w:val="2"/>
  </w:num>
  <w:num w:numId="9">
    <w:abstractNumId w:val="0"/>
  </w:num>
  <w:num w:numId="10">
    <w:abstractNumId w:val="3"/>
  </w:num>
  <w:num w:numId="11">
    <w:abstractNumId w:val="5"/>
  </w:num>
  <w:num w:numId="12">
    <w:abstractNumId w:val="9"/>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66D"/>
    <w:rsid w:val="00064F7F"/>
    <w:rsid w:val="000A53B4"/>
    <w:rsid w:val="00153EF0"/>
    <w:rsid w:val="001A6E64"/>
    <w:rsid w:val="00242F36"/>
    <w:rsid w:val="002A7A2B"/>
    <w:rsid w:val="002C4C52"/>
    <w:rsid w:val="00517E01"/>
    <w:rsid w:val="00522097"/>
    <w:rsid w:val="005541A7"/>
    <w:rsid w:val="00570733"/>
    <w:rsid w:val="00576090"/>
    <w:rsid w:val="005B46F2"/>
    <w:rsid w:val="0089474F"/>
    <w:rsid w:val="008F527B"/>
    <w:rsid w:val="00985398"/>
    <w:rsid w:val="00A36CEC"/>
    <w:rsid w:val="00A83477"/>
    <w:rsid w:val="00BC6AB9"/>
    <w:rsid w:val="00BC6C27"/>
    <w:rsid w:val="00C83104"/>
    <w:rsid w:val="00C9366D"/>
    <w:rsid w:val="00D60EB5"/>
    <w:rsid w:val="00D905E0"/>
    <w:rsid w:val="00DD0C6A"/>
    <w:rsid w:val="00E579F4"/>
    <w:rsid w:val="00EF0134"/>
    <w:rsid w:val="00F97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039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6D"/>
  </w:style>
  <w:style w:type="paragraph" w:styleId="Heading1">
    <w:name w:val="heading 1"/>
    <w:basedOn w:val="Normal"/>
    <w:next w:val="Normal"/>
    <w:link w:val="Heading1Char"/>
    <w:uiPriority w:val="9"/>
    <w:qFormat/>
    <w:rsid w:val="008947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6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66D"/>
    <w:rPr>
      <w:rFonts w:ascii="Lucida Grande" w:hAnsi="Lucida Grande" w:cs="Lucida Grande"/>
      <w:sz w:val="18"/>
      <w:szCs w:val="18"/>
    </w:rPr>
  </w:style>
  <w:style w:type="character" w:styleId="Hyperlink">
    <w:name w:val="Hyperlink"/>
    <w:basedOn w:val="DefaultParagraphFont"/>
    <w:uiPriority w:val="99"/>
    <w:unhideWhenUsed/>
    <w:rsid w:val="00522097"/>
    <w:rPr>
      <w:color w:val="0000FF" w:themeColor="hyperlink"/>
      <w:u w:val="single"/>
    </w:rPr>
  </w:style>
  <w:style w:type="paragraph" w:styleId="ListParagraph">
    <w:name w:val="List Paragraph"/>
    <w:basedOn w:val="Normal"/>
    <w:uiPriority w:val="34"/>
    <w:qFormat/>
    <w:rsid w:val="00517E01"/>
    <w:pPr>
      <w:ind w:left="720"/>
      <w:contextualSpacing/>
    </w:pPr>
  </w:style>
  <w:style w:type="character" w:customStyle="1" w:styleId="Heading1Char">
    <w:name w:val="Heading 1 Char"/>
    <w:basedOn w:val="DefaultParagraphFont"/>
    <w:link w:val="Heading1"/>
    <w:uiPriority w:val="9"/>
    <w:rsid w:val="0089474F"/>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unhideWhenUsed/>
    <w:rsid w:val="0089474F"/>
    <w:pPr>
      <w:spacing w:before="120"/>
    </w:pPr>
    <w:rPr>
      <w:rFonts w:asciiTheme="majorHAnsi" w:hAnsiTheme="majorHAnsi"/>
      <w:b/>
      <w:color w:val="548DD4"/>
    </w:rPr>
  </w:style>
  <w:style w:type="paragraph" w:styleId="TOC2">
    <w:name w:val="toc 2"/>
    <w:basedOn w:val="Normal"/>
    <w:next w:val="Normal"/>
    <w:autoRedefine/>
    <w:uiPriority w:val="39"/>
    <w:unhideWhenUsed/>
    <w:rsid w:val="0089474F"/>
    <w:rPr>
      <w:sz w:val="22"/>
      <w:szCs w:val="22"/>
    </w:rPr>
  </w:style>
  <w:style w:type="paragraph" w:styleId="TOC3">
    <w:name w:val="toc 3"/>
    <w:basedOn w:val="Normal"/>
    <w:next w:val="Normal"/>
    <w:autoRedefine/>
    <w:uiPriority w:val="39"/>
    <w:unhideWhenUsed/>
    <w:rsid w:val="0089474F"/>
    <w:pPr>
      <w:ind w:left="240"/>
    </w:pPr>
    <w:rPr>
      <w:i/>
      <w:sz w:val="22"/>
      <w:szCs w:val="22"/>
    </w:rPr>
  </w:style>
  <w:style w:type="paragraph" w:styleId="TOC4">
    <w:name w:val="toc 4"/>
    <w:basedOn w:val="Normal"/>
    <w:next w:val="Normal"/>
    <w:autoRedefine/>
    <w:uiPriority w:val="39"/>
    <w:unhideWhenUsed/>
    <w:rsid w:val="0089474F"/>
    <w:pPr>
      <w:pBdr>
        <w:between w:val="double" w:sz="6" w:space="0" w:color="auto"/>
      </w:pBdr>
      <w:ind w:left="480"/>
    </w:pPr>
    <w:rPr>
      <w:sz w:val="20"/>
      <w:szCs w:val="20"/>
    </w:rPr>
  </w:style>
  <w:style w:type="paragraph" w:styleId="TOC5">
    <w:name w:val="toc 5"/>
    <w:basedOn w:val="Normal"/>
    <w:next w:val="Normal"/>
    <w:autoRedefine/>
    <w:uiPriority w:val="39"/>
    <w:unhideWhenUsed/>
    <w:rsid w:val="0089474F"/>
    <w:pPr>
      <w:pBdr>
        <w:between w:val="double" w:sz="6" w:space="0" w:color="auto"/>
      </w:pBdr>
      <w:ind w:left="720"/>
    </w:pPr>
    <w:rPr>
      <w:sz w:val="20"/>
      <w:szCs w:val="20"/>
    </w:rPr>
  </w:style>
  <w:style w:type="paragraph" w:styleId="TOC6">
    <w:name w:val="toc 6"/>
    <w:basedOn w:val="Normal"/>
    <w:next w:val="Normal"/>
    <w:autoRedefine/>
    <w:uiPriority w:val="39"/>
    <w:unhideWhenUsed/>
    <w:rsid w:val="0089474F"/>
    <w:pPr>
      <w:pBdr>
        <w:between w:val="double" w:sz="6" w:space="0" w:color="auto"/>
      </w:pBdr>
      <w:ind w:left="960"/>
    </w:pPr>
    <w:rPr>
      <w:sz w:val="20"/>
      <w:szCs w:val="20"/>
    </w:rPr>
  </w:style>
  <w:style w:type="paragraph" w:styleId="TOC7">
    <w:name w:val="toc 7"/>
    <w:basedOn w:val="Normal"/>
    <w:next w:val="Normal"/>
    <w:autoRedefine/>
    <w:uiPriority w:val="39"/>
    <w:unhideWhenUsed/>
    <w:rsid w:val="0089474F"/>
    <w:pPr>
      <w:pBdr>
        <w:between w:val="double" w:sz="6" w:space="0" w:color="auto"/>
      </w:pBdr>
      <w:ind w:left="1200"/>
    </w:pPr>
    <w:rPr>
      <w:sz w:val="20"/>
      <w:szCs w:val="20"/>
    </w:rPr>
  </w:style>
  <w:style w:type="paragraph" w:styleId="TOC8">
    <w:name w:val="toc 8"/>
    <w:basedOn w:val="Normal"/>
    <w:next w:val="Normal"/>
    <w:autoRedefine/>
    <w:uiPriority w:val="39"/>
    <w:unhideWhenUsed/>
    <w:rsid w:val="0089474F"/>
    <w:pPr>
      <w:pBdr>
        <w:between w:val="double" w:sz="6" w:space="0" w:color="auto"/>
      </w:pBdr>
      <w:ind w:left="1440"/>
    </w:pPr>
    <w:rPr>
      <w:sz w:val="20"/>
      <w:szCs w:val="20"/>
    </w:rPr>
  </w:style>
  <w:style w:type="paragraph" w:styleId="TOC9">
    <w:name w:val="toc 9"/>
    <w:basedOn w:val="Normal"/>
    <w:next w:val="Normal"/>
    <w:autoRedefine/>
    <w:uiPriority w:val="39"/>
    <w:unhideWhenUsed/>
    <w:rsid w:val="0089474F"/>
    <w:pPr>
      <w:pBdr>
        <w:between w:val="double" w:sz="6" w:space="0" w:color="auto"/>
      </w:pBdr>
      <w:ind w:left="1680"/>
    </w:pPr>
    <w:rPr>
      <w:sz w:val="20"/>
      <w:szCs w:val="20"/>
    </w:rPr>
  </w:style>
  <w:style w:type="paragraph" w:styleId="Footer">
    <w:name w:val="footer"/>
    <w:basedOn w:val="Normal"/>
    <w:link w:val="FooterChar"/>
    <w:uiPriority w:val="99"/>
    <w:unhideWhenUsed/>
    <w:rsid w:val="00D905E0"/>
    <w:pPr>
      <w:tabs>
        <w:tab w:val="center" w:pos="4320"/>
        <w:tab w:val="right" w:pos="8640"/>
      </w:tabs>
    </w:pPr>
  </w:style>
  <w:style w:type="character" w:customStyle="1" w:styleId="FooterChar">
    <w:name w:val="Footer Char"/>
    <w:basedOn w:val="DefaultParagraphFont"/>
    <w:link w:val="Footer"/>
    <w:uiPriority w:val="99"/>
    <w:rsid w:val="00D905E0"/>
  </w:style>
  <w:style w:type="character" w:styleId="PageNumber">
    <w:name w:val="page number"/>
    <w:basedOn w:val="DefaultParagraphFont"/>
    <w:uiPriority w:val="99"/>
    <w:semiHidden/>
    <w:unhideWhenUsed/>
    <w:rsid w:val="00D905E0"/>
  </w:style>
  <w:style w:type="paragraph" w:styleId="Header">
    <w:name w:val="header"/>
    <w:basedOn w:val="Normal"/>
    <w:link w:val="HeaderChar"/>
    <w:uiPriority w:val="99"/>
    <w:unhideWhenUsed/>
    <w:rsid w:val="00BC6C27"/>
    <w:pPr>
      <w:tabs>
        <w:tab w:val="center" w:pos="4320"/>
        <w:tab w:val="right" w:pos="8640"/>
      </w:tabs>
    </w:pPr>
  </w:style>
  <w:style w:type="character" w:customStyle="1" w:styleId="HeaderChar">
    <w:name w:val="Header Char"/>
    <w:basedOn w:val="DefaultParagraphFont"/>
    <w:link w:val="Header"/>
    <w:uiPriority w:val="99"/>
    <w:rsid w:val="00BC6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6D"/>
  </w:style>
  <w:style w:type="paragraph" w:styleId="Heading1">
    <w:name w:val="heading 1"/>
    <w:basedOn w:val="Normal"/>
    <w:next w:val="Normal"/>
    <w:link w:val="Heading1Char"/>
    <w:uiPriority w:val="9"/>
    <w:qFormat/>
    <w:rsid w:val="008947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6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66D"/>
    <w:rPr>
      <w:rFonts w:ascii="Lucida Grande" w:hAnsi="Lucida Grande" w:cs="Lucida Grande"/>
      <w:sz w:val="18"/>
      <w:szCs w:val="18"/>
    </w:rPr>
  </w:style>
  <w:style w:type="character" w:styleId="Hyperlink">
    <w:name w:val="Hyperlink"/>
    <w:basedOn w:val="DefaultParagraphFont"/>
    <w:uiPriority w:val="99"/>
    <w:unhideWhenUsed/>
    <w:rsid w:val="00522097"/>
    <w:rPr>
      <w:color w:val="0000FF" w:themeColor="hyperlink"/>
      <w:u w:val="single"/>
    </w:rPr>
  </w:style>
  <w:style w:type="paragraph" w:styleId="ListParagraph">
    <w:name w:val="List Paragraph"/>
    <w:basedOn w:val="Normal"/>
    <w:uiPriority w:val="34"/>
    <w:qFormat/>
    <w:rsid w:val="00517E01"/>
    <w:pPr>
      <w:ind w:left="720"/>
      <w:contextualSpacing/>
    </w:pPr>
  </w:style>
  <w:style w:type="character" w:customStyle="1" w:styleId="Heading1Char">
    <w:name w:val="Heading 1 Char"/>
    <w:basedOn w:val="DefaultParagraphFont"/>
    <w:link w:val="Heading1"/>
    <w:uiPriority w:val="9"/>
    <w:rsid w:val="0089474F"/>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unhideWhenUsed/>
    <w:rsid w:val="0089474F"/>
    <w:pPr>
      <w:spacing w:before="120"/>
    </w:pPr>
    <w:rPr>
      <w:rFonts w:asciiTheme="majorHAnsi" w:hAnsiTheme="majorHAnsi"/>
      <w:b/>
      <w:color w:val="548DD4"/>
    </w:rPr>
  </w:style>
  <w:style w:type="paragraph" w:styleId="TOC2">
    <w:name w:val="toc 2"/>
    <w:basedOn w:val="Normal"/>
    <w:next w:val="Normal"/>
    <w:autoRedefine/>
    <w:uiPriority w:val="39"/>
    <w:unhideWhenUsed/>
    <w:rsid w:val="0089474F"/>
    <w:rPr>
      <w:sz w:val="22"/>
      <w:szCs w:val="22"/>
    </w:rPr>
  </w:style>
  <w:style w:type="paragraph" w:styleId="TOC3">
    <w:name w:val="toc 3"/>
    <w:basedOn w:val="Normal"/>
    <w:next w:val="Normal"/>
    <w:autoRedefine/>
    <w:uiPriority w:val="39"/>
    <w:unhideWhenUsed/>
    <w:rsid w:val="0089474F"/>
    <w:pPr>
      <w:ind w:left="240"/>
    </w:pPr>
    <w:rPr>
      <w:i/>
      <w:sz w:val="22"/>
      <w:szCs w:val="22"/>
    </w:rPr>
  </w:style>
  <w:style w:type="paragraph" w:styleId="TOC4">
    <w:name w:val="toc 4"/>
    <w:basedOn w:val="Normal"/>
    <w:next w:val="Normal"/>
    <w:autoRedefine/>
    <w:uiPriority w:val="39"/>
    <w:unhideWhenUsed/>
    <w:rsid w:val="0089474F"/>
    <w:pPr>
      <w:pBdr>
        <w:between w:val="double" w:sz="6" w:space="0" w:color="auto"/>
      </w:pBdr>
      <w:ind w:left="480"/>
    </w:pPr>
    <w:rPr>
      <w:sz w:val="20"/>
      <w:szCs w:val="20"/>
    </w:rPr>
  </w:style>
  <w:style w:type="paragraph" w:styleId="TOC5">
    <w:name w:val="toc 5"/>
    <w:basedOn w:val="Normal"/>
    <w:next w:val="Normal"/>
    <w:autoRedefine/>
    <w:uiPriority w:val="39"/>
    <w:unhideWhenUsed/>
    <w:rsid w:val="0089474F"/>
    <w:pPr>
      <w:pBdr>
        <w:between w:val="double" w:sz="6" w:space="0" w:color="auto"/>
      </w:pBdr>
      <w:ind w:left="720"/>
    </w:pPr>
    <w:rPr>
      <w:sz w:val="20"/>
      <w:szCs w:val="20"/>
    </w:rPr>
  </w:style>
  <w:style w:type="paragraph" w:styleId="TOC6">
    <w:name w:val="toc 6"/>
    <w:basedOn w:val="Normal"/>
    <w:next w:val="Normal"/>
    <w:autoRedefine/>
    <w:uiPriority w:val="39"/>
    <w:unhideWhenUsed/>
    <w:rsid w:val="0089474F"/>
    <w:pPr>
      <w:pBdr>
        <w:between w:val="double" w:sz="6" w:space="0" w:color="auto"/>
      </w:pBdr>
      <w:ind w:left="960"/>
    </w:pPr>
    <w:rPr>
      <w:sz w:val="20"/>
      <w:szCs w:val="20"/>
    </w:rPr>
  </w:style>
  <w:style w:type="paragraph" w:styleId="TOC7">
    <w:name w:val="toc 7"/>
    <w:basedOn w:val="Normal"/>
    <w:next w:val="Normal"/>
    <w:autoRedefine/>
    <w:uiPriority w:val="39"/>
    <w:unhideWhenUsed/>
    <w:rsid w:val="0089474F"/>
    <w:pPr>
      <w:pBdr>
        <w:between w:val="double" w:sz="6" w:space="0" w:color="auto"/>
      </w:pBdr>
      <w:ind w:left="1200"/>
    </w:pPr>
    <w:rPr>
      <w:sz w:val="20"/>
      <w:szCs w:val="20"/>
    </w:rPr>
  </w:style>
  <w:style w:type="paragraph" w:styleId="TOC8">
    <w:name w:val="toc 8"/>
    <w:basedOn w:val="Normal"/>
    <w:next w:val="Normal"/>
    <w:autoRedefine/>
    <w:uiPriority w:val="39"/>
    <w:unhideWhenUsed/>
    <w:rsid w:val="0089474F"/>
    <w:pPr>
      <w:pBdr>
        <w:between w:val="double" w:sz="6" w:space="0" w:color="auto"/>
      </w:pBdr>
      <w:ind w:left="1440"/>
    </w:pPr>
    <w:rPr>
      <w:sz w:val="20"/>
      <w:szCs w:val="20"/>
    </w:rPr>
  </w:style>
  <w:style w:type="paragraph" w:styleId="TOC9">
    <w:name w:val="toc 9"/>
    <w:basedOn w:val="Normal"/>
    <w:next w:val="Normal"/>
    <w:autoRedefine/>
    <w:uiPriority w:val="39"/>
    <w:unhideWhenUsed/>
    <w:rsid w:val="0089474F"/>
    <w:pPr>
      <w:pBdr>
        <w:between w:val="double" w:sz="6" w:space="0" w:color="auto"/>
      </w:pBdr>
      <w:ind w:left="1680"/>
    </w:pPr>
    <w:rPr>
      <w:sz w:val="20"/>
      <w:szCs w:val="20"/>
    </w:rPr>
  </w:style>
  <w:style w:type="paragraph" w:styleId="Footer">
    <w:name w:val="footer"/>
    <w:basedOn w:val="Normal"/>
    <w:link w:val="FooterChar"/>
    <w:uiPriority w:val="99"/>
    <w:unhideWhenUsed/>
    <w:rsid w:val="00D905E0"/>
    <w:pPr>
      <w:tabs>
        <w:tab w:val="center" w:pos="4320"/>
        <w:tab w:val="right" w:pos="8640"/>
      </w:tabs>
    </w:pPr>
  </w:style>
  <w:style w:type="character" w:customStyle="1" w:styleId="FooterChar">
    <w:name w:val="Footer Char"/>
    <w:basedOn w:val="DefaultParagraphFont"/>
    <w:link w:val="Footer"/>
    <w:uiPriority w:val="99"/>
    <w:rsid w:val="00D905E0"/>
  </w:style>
  <w:style w:type="character" w:styleId="PageNumber">
    <w:name w:val="page number"/>
    <w:basedOn w:val="DefaultParagraphFont"/>
    <w:uiPriority w:val="99"/>
    <w:semiHidden/>
    <w:unhideWhenUsed/>
    <w:rsid w:val="00D905E0"/>
  </w:style>
  <w:style w:type="paragraph" w:styleId="Header">
    <w:name w:val="header"/>
    <w:basedOn w:val="Normal"/>
    <w:link w:val="HeaderChar"/>
    <w:uiPriority w:val="99"/>
    <w:unhideWhenUsed/>
    <w:rsid w:val="00BC6C27"/>
    <w:pPr>
      <w:tabs>
        <w:tab w:val="center" w:pos="4320"/>
        <w:tab w:val="right" w:pos="8640"/>
      </w:tabs>
    </w:pPr>
  </w:style>
  <w:style w:type="character" w:customStyle="1" w:styleId="HeaderChar">
    <w:name w:val="Header Char"/>
    <w:basedOn w:val="DefaultParagraphFont"/>
    <w:link w:val="Header"/>
    <w:uiPriority w:val="99"/>
    <w:rsid w:val="00BC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CA791-1A26-40B6-853F-8C53600A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555</Words>
  <Characters>3168</Characters>
  <Application>Microsoft Office Word</Application>
  <DocSecurity>0</DocSecurity>
  <Lines>26</Lines>
  <Paragraphs>7</Paragraphs>
  <ScaleCrop>false</ScaleCrop>
  <Company>Network Merchants</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Puchalski</dc:creator>
  <cp:keywords/>
  <dc:description/>
  <cp:lastModifiedBy>Andrew MacKay</cp:lastModifiedBy>
  <cp:revision>7</cp:revision>
  <dcterms:created xsi:type="dcterms:W3CDTF">2016-06-09T20:08:00Z</dcterms:created>
  <dcterms:modified xsi:type="dcterms:W3CDTF">2017-11-22T22:57:00Z</dcterms:modified>
</cp:coreProperties>
</file>